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2C86B">
      <w:pPr>
        <w:widowControl w:val="0"/>
        <w:tabs>
          <w:tab w:val="left" w:pos="3159"/>
          <w:tab w:val="left" w:pos="3509"/>
          <w:tab w:val="left" w:pos="4975"/>
        </w:tabs>
        <w:autoSpaceDE w:val="0"/>
        <w:autoSpaceDN w:val="0"/>
        <w:spacing w:before="73" w:after="0" w:line="240" w:lineRule="auto"/>
        <w:ind w:left="2814" w:right="2821" w:firstLine="21"/>
        <w:jc w:val="center"/>
        <w:outlineLvl w:val="0"/>
        <w:rPr>
          <w:rFonts w:ascii="Arial" w:hAnsi="Arial" w:eastAsia="Times New Roman" w:cs="Arial"/>
          <w:b/>
          <w:bCs/>
          <w:sz w:val="32"/>
          <w:szCs w:val="32"/>
        </w:rPr>
      </w:pPr>
      <w:r>
        <w:rPr>
          <w:rFonts w:ascii="Tahoma" w:hAnsi="Tahoma" w:eastAsia="Times New Roman" w:cs="Tahoma"/>
          <w:color w:val="000000"/>
          <w:sz w:val="24"/>
          <w:szCs w:val="24"/>
          <w:lang w:eastAsia="ru-RU"/>
        </w:rPr>
        <w:t>﻿</w:t>
      </w:r>
      <w:r>
        <w:rPr>
          <w:rFonts w:hint="default" w:ascii="Arial" w:hAnsi="Arial" w:eastAsia="Times New Roman" w:cs="Arial"/>
          <w:b/>
          <w:bCs/>
          <w:color w:val="000000"/>
          <w:sz w:val="32"/>
          <w:szCs w:val="32"/>
          <w:lang w:val="en-US" w:eastAsia="ru-RU"/>
        </w:rPr>
        <w:t>15</w:t>
      </w:r>
      <w:r>
        <w:rPr>
          <w:rFonts w:ascii="Arial" w:hAnsi="Arial" w:eastAsia="Times New Roman" w:cs="Arial"/>
          <w:b/>
          <w:bCs/>
          <w:sz w:val="32"/>
          <w:szCs w:val="32"/>
        </w:rPr>
        <w:t>.</w:t>
      </w:r>
      <w:r>
        <w:rPr>
          <w:rFonts w:hint="default" w:ascii="Arial" w:hAnsi="Arial" w:eastAsia="Times New Roman" w:cs="Arial"/>
          <w:b/>
          <w:bCs/>
          <w:sz w:val="32"/>
          <w:szCs w:val="32"/>
          <w:lang w:val="ru-RU"/>
        </w:rPr>
        <w:t>12.</w:t>
      </w:r>
      <w:r>
        <w:rPr>
          <w:rFonts w:ascii="Arial" w:hAnsi="Arial" w:eastAsia="Times New Roman" w:cs="Arial"/>
          <w:b/>
          <w:bCs/>
          <w:sz w:val="32"/>
          <w:szCs w:val="32"/>
        </w:rPr>
        <w:t>202</w:t>
      </w:r>
      <w:r>
        <w:rPr>
          <w:rFonts w:hint="default" w:ascii="Arial" w:hAnsi="Arial" w:eastAsia="Times New Roman" w:cs="Arial"/>
          <w:b/>
          <w:bCs/>
          <w:sz w:val="32"/>
          <w:szCs w:val="32"/>
          <w:lang w:val="ru-RU"/>
        </w:rPr>
        <w:t xml:space="preserve">5г.№196 </w:t>
      </w:r>
      <w:r>
        <w:rPr>
          <w:rFonts w:ascii="Arial" w:hAnsi="Arial" w:eastAsia="Times New Roman" w:cs="Arial"/>
          <w:b/>
          <w:bCs/>
          <w:sz w:val="32"/>
          <w:szCs w:val="32"/>
        </w:rPr>
        <w:t>РОССИЙСКАЯ ФЕДЕРАЦИЯ</w:t>
      </w:r>
      <w:r>
        <w:rPr>
          <w:rFonts w:ascii="Arial" w:hAnsi="Arial" w:eastAsia="Times New Roman" w:cs="Arial"/>
          <w:b/>
          <w:bCs/>
          <w:spacing w:val="-67"/>
          <w:sz w:val="32"/>
          <w:szCs w:val="32"/>
        </w:rPr>
        <w:t xml:space="preserve"> </w:t>
      </w:r>
      <w:r>
        <w:rPr>
          <w:rFonts w:ascii="Arial" w:hAnsi="Arial" w:eastAsia="Times New Roman" w:cs="Arial"/>
          <w:b/>
          <w:bCs/>
          <w:sz w:val="32"/>
          <w:szCs w:val="32"/>
        </w:rPr>
        <w:t>ИРКУТСКАЯ</w:t>
      </w:r>
      <w:r>
        <w:rPr>
          <w:rFonts w:ascii="Arial" w:hAnsi="Arial" w:eastAsia="Times New Roman" w:cs="Arial"/>
          <w:b/>
          <w:bCs/>
          <w:spacing w:val="-1"/>
          <w:sz w:val="32"/>
          <w:szCs w:val="32"/>
        </w:rPr>
        <w:t xml:space="preserve"> </w:t>
      </w:r>
      <w:r>
        <w:rPr>
          <w:rFonts w:ascii="Arial" w:hAnsi="Arial" w:eastAsia="Times New Roman" w:cs="Arial"/>
          <w:b/>
          <w:bCs/>
          <w:sz w:val="32"/>
          <w:szCs w:val="32"/>
        </w:rPr>
        <w:t>ОБЛАСТЬ</w:t>
      </w:r>
    </w:p>
    <w:p w14:paraId="3B93AC0F">
      <w:pPr>
        <w:widowControl w:val="0"/>
        <w:autoSpaceDE w:val="0"/>
        <w:autoSpaceDN w:val="0"/>
        <w:spacing w:after="0" w:line="240" w:lineRule="auto"/>
        <w:ind w:left="1553" w:right="1560"/>
        <w:jc w:val="center"/>
        <w:rPr>
          <w:rFonts w:ascii="Arial" w:hAnsi="Arial" w:eastAsia="Times New Roman" w:cs="Arial"/>
          <w:b/>
          <w:sz w:val="32"/>
          <w:szCs w:val="32"/>
        </w:rPr>
      </w:pPr>
      <w:r>
        <w:rPr>
          <w:rFonts w:ascii="Arial" w:hAnsi="Arial" w:eastAsia="Times New Roman" w:cs="Arial"/>
          <w:b/>
          <w:sz w:val="32"/>
          <w:szCs w:val="32"/>
        </w:rPr>
        <w:t>БАЯНДАЕВСКИЙ</w:t>
      </w:r>
    </w:p>
    <w:p w14:paraId="4D1629FC">
      <w:pPr>
        <w:widowControl w:val="0"/>
        <w:autoSpaceDE w:val="0"/>
        <w:autoSpaceDN w:val="0"/>
        <w:spacing w:after="0" w:line="240" w:lineRule="auto"/>
        <w:ind w:left="1553" w:right="1560"/>
        <w:jc w:val="center"/>
        <w:rPr>
          <w:rFonts w:ascii="Arial" w:hAnsi="Arial" w:eastAsia="Times New Roman" w:cs="Arial"/>
          <w:b/>
          <w:sz w:val="32"/>
          <w:szCs w:val="32"/>
        </w:rPr>
      </w:pPr>
      <w:r>
        <w:rPr>
          <w:rFonts w:ascii="Arial" w:hAnsi="Arial" w:eastAsia="Times New Roman" w:cs="Arial"/>
          <w:b/>
          <w:sz w:val="32"/>
          <w:szCs w:val="32"/>
        </w:rPr>
        <w:t>МУНИЦИПАЛЬНЫЙ РАЙОН</w:t>
      </w:r>
    </w:p>
    <w:p w14:paraId="6520398E">
      <w:pPr>
        <w:widowControl w:val="0"/>
        <w:autoSpaceDE w:val="0"/>
        <w:autoSpaceDN w:val="0"/>
        <w:spacing w:after="0" w:line="240" w:lineRule="auto"/>
        <w:ind w:left="1553" w:right="1560"/>
        <w:jc w:val="center"/>
        <w:rPr>
          <w:rFonts w:ascii="Arial" w:hAnsi="Arial" w:eastAsia="Times New Roman" w:cs="Arial"/>
          <w:b/>
          <w:sz w:val="32"/>
          <w:szCs w:val="32"/>
        </w:rPr>
      </w:pPr>
      <w:r>
        <w:rPr>
          <w:rFonts w:ascii="Arial" w:hAnsi="Arial" w:eastAsia="Times New Roman" w:cs="Arial"/>
          <w:b/>
          <w:sz w:val="32"/>
          <w:szCs w:val="32"/>
        </w:rPr>
        <w:t>ДУМА</w:t>
      </w:r>
      <w:r>
        <w:rPr>
          <w:rFonts w:ascii="Arial" w:hAnsi="Arial" w:eastAsia="Times New Roman" w:cs="Arial"/>
          <w:b/>
          <w:spacing w:val="-1"/>
          <w:sz w:val="32"/>
          <w:szCs w:val="32"/>
        </w:rPr>
        <w:t xml:space="preserve"> </w:t>
      </w:r>
      <w:r>
        <w:rPr>
          <w:rFonts w:ascii="Arial" w:hAnsi="Arial" w:eastAsia="Times New Roman" w:cs="Arial"/>
          <w:b/>
          <w:sz w:val="32"/>
          <w:szCs w:val="32"/>
        </w:rPr>
        <w:t>МУНИЦИПАЛЬНОГО ОБРАЗОВАНИЯ «ХОГОТ»</w:t>
      </w:r>
    </w:p>
    <w:p w14:paraId="179DE53C">
      <w:pPr>
        <w:spacing w:after="0" w:line="240" w:lineRule="auto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 </w:t>
      </w:r>
    </w:p>
    <w:p w14:paraId="42849D6C">
      <w:pPr>
        <w:spacing w:after="0" w:line="240" w:lineRule="auto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2"/>
          <w:szCs w:val="32"/>
          <w:lang w:eastAsia="ru-RU"/>
        </w:rPr>
        <w:t>О ВНЕСЕНИИ ИЗМЕНЕНИЙ В РЕШЕНИЕ ДУМЫ МО «ХОГОТ» ОТ 19.08.2022 ГОДА №124 «ОБ УТВЕРЖДЕНИИ ПОЛОЖЕНИЯ О МУНИЦИПАЛЬНОМ КОНТРОЛЕ В СФЕРЕ БЛАГОУСТРОЙСТВА НА ТЕРРИТОРИИ МУНИЦИПАЛЬНОГО ОБРАЗОВАНИЯ «ХОГОТ»</w:t>
      </w:r>
    </w:p>
    <w:p w14:paraId="6FFC180F"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Courier New" w:hAnsi="Courier New" w:eastAsia="Times New Roman" w:cs="Courier New"/>
          <w:color w:val="000000"/>
          <w:sz w:val="24"/>
          <w:szCs w:val="24"/>
          <w:lang w:eastAsia="ru-RU"/>
        </w:rPr>
        <w:t> </w:t>
      </w:r>
    </w:p>
    <w:p w14:paraId="7DAA85AC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2"/>
          <w:szCs w:val="22"/>
          <w:lang w:eastAsia="ru-RU"/>
        </w:rPr>
      </w:pPr>
      <w:r>
        <w:rPr>
          <w:rFonts w:ascii="Arial" w:hAnsi="Arial" w:eastAsia="Times New Roman" w:cs="Arial"/>
          <w:color w:val="000000"/>
          <w:sz w:val="22"/>
          <w:szCs w:val="22"/>
          <w:lang w:eastAsia="ru-RU"/>
        </w:rPr>
        <w:t>В соответствии с пунктом 19 части 1 статьи 14</w:t>
      </w:r>
      <w:r>
        <w:rPr>
          <w:rFonts w:ascii="Arial" w:hAnsi="Arial" w:eastAsia="Times New Roman" w:cs="Arial"/>
          <w:color w:val="000000"/>
          <w:sz w:val="22"/>
          <w:szCs w:val="22"/>
          <w:shd w:val="clear" w:color="auto" w:fill="FFFFFF"/>
          <w:lang w:eastAsia="ru-RU"/>
        </w:rPr>
        <w:t> Федерального закона от 06.10.2003 № 131-ФЗ «Об общих принципах организации местного самоуправления в Российской Федерации»</w:t>
      </w:r>
      <w:r>
        <w:rPr>
          <w:rFonts w:ascii="Arial" w:hAnsi="Arial" w:eastAsia="Times New Roman" w:cs="Arial"/>
          <w:color w:val="000000"/>
          <w:sz w:val="22"/>
          <w:szCs w:val="22"/>
          <w:lang w:eastAsia="ru-RU"/>
        </w:rPr>
        <w:t>, Федеральным законом от 31.07.2020 № 248-ФЗ «О государственном контроле (надзоре) и муниципальном контроле в Российской Федерации»,</w:t>
      </w:r>
      <w:r>
        <w:rPr>
          <w:rFonts w:hint="default" w:ascii="Arial" w:hAnsi="Arial" w:eastAsia="Times New Roman" w:cs="Arial"/>
          <w:color w:val="000000"/>
          <w:sz w:val="22"/>
          <w:szCs w:val="22"/>
          <w:lang w:val="en-US" w:eastAsia="ru-RU"/>
        </w:rPr>
        <w:t xml:space="preserve">( далее - Федеральный закон от 31.07.2020 № 248-ФЗ), в который внесены изменения  Федеральным законом от 28.12.224 №540-ФЗ, </w:t>
      </w:r>
      <w:r>
        <w:rPr>
          <w:rFonts w:ascii="Arial" w:hAnsi="Arial" w:eastAsia="Times New Roman" w:cs="Arial"/>
          <w:color w:val="000000"/>
          <w:sz w:val="22"/>
          <w:szCs w:val="22"/>
          <w:lang w:eastAsia="ru-RU"/>
        </w:rPr>
        <w:t>руководствуясь</w:t>
      </w:r>
      <w:r>
        <w:rPr>
          <w:rFonts w:hint="default" w:ascii="Arial" w:hAnsi="Arial" w:eastAsia="Times New Roman" w:cs="Arial"/>
          <w:color w:val="000000"/>
          <w:sz w:val="22"/>
          <w:szCs w:val="22"/>
          <w:lang w:val="en-US" w:eastAsia="ru-RU"/>
        </w:rPr>
        <w:t xml:space="preserve"> </w:t>
      </w:r>
      <w:r>
        <w:rPr>
          <w:rFonts w:ascii="Arial" w:hAnsi="Arial" w:eastAsia="Times New Roman" w:cs="Arial"/>
          <w:color w:val="000000"/>
          <w:sz w:val="22"/>
          <w:szCs w:val="22"/>
          <w:lang w:eastAsia="ru-RU"/>
        </w:rPr>
        <w:t>Уставом муниципального образования «Хогот», Дума муниципального образования «Хогот»,</w:t>
      </w:r>
    </w:p>
    <w:p w14:paraId="35AD2570">
      <w:pPr>
        <w:spacing w:after="0" w:line="240" w:lineRule="auto"/>
        <w:ind w:firstLine="709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 </w:t>
      </w:r>
    </w:p>
    <w:p w14:paraId="73DC5B3B">
      <w:pPr>
        <w:spacing w:after="0" w:line="240" w:lineRule="auto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7A8F2E52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 </w:t>
      </w:r>
    </w:p>
    <w:p w14:paraId="299A7FE8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 Внести изменения в решение Думы МО «Хогот» от 19.08.2022 г. 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 xml:space="preserve"> </w:t>
      </w:r>
      <w:r>
        <w:rPr>
          <w:rFonts w:ascii="Arial" w:hAnsi="Arial" w:eastAsia="Times New Roman" w:cs="Arial"/>
          <w:sz w:val="24"/>
          <w:szCs w:val="24"/>
          <w:lang w:eastAsia="ru-RU"/>
        </w:rPr>
        <w:t xml:space="preserve">№ 124 «Об утверждении Положения о муниципальном контроле в сфере благоустройства на территории муниципального образования «Хогот» следующие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изменения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и дополнения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:</w:t>
      </w:r>
    </w:p>
    <w:p w14:paraId="43D76B81">
      <w:pPr>
        <w:shd w:val="clear" w:color="auto" w:fill="FFFFFF"/>
        <w:spacing w:after="0" w:line="240" w:lineRule="auto"/>
        <w:ind w:firstLine="600" w:firstLineChars="250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1.1 В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 разделе 2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 xml:space="preserve"> Пункт 2.5 Положения изложить в редакции: </w:t>
      </w:r>
    </w:p>
    <w:p w14:paraId="003E737F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 xml:space="preserve">2.5. </w:t>
      </w:r>
      <w:bookmarkStart w:id="0" w:name="_Hlk197427057"/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2AA51250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1) информирование;</w:t>
      </w:r>
    </w:p>
    <w:p w14:paraId="6B4AB84C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2) консультирование;</w:t>
      </w:r>
    </w:p>
    <w:p w14:paraId="1661C75E">
      <w:pPr>
        <w:suppressAutoHyphens/>
        <w:autoSpaceDE w:val="0"/>
        <w:spacing w:after="0" w:line="240" w:lineRule="auto"/>
        <w:ind w:firstLine="709"/>
        <w:jc w:val="both"/>
        <w:rPr>
          <w:rFonts w:hint="default" w:ascii="Arial" w:hAnsi="Arial" w:eastAsia="Times New Roman" w:cs="Arial"/>
          <w:color w:val="000000"/>
          <w:sz w:val="24"/>
          <w:szCs w:val="24"/>
          <w:lang w:val="ru-RU" w:eastAsia="zh-CN"/>
        </w:rPr>
      </w:pPr>
      <w:r>
        <w:rPr>
          <w:rFonts w:hint="default" w:ascii="Arial" w:hAnsi="Arial" w:eastAsia="Times New Roman" w:cs="Arial"/>
          <w:color w:val="000000"/>
          <w:sz w:val="24"/>
          <w:szCs w:val="24"/>
          <w:lang w:val="ru-RU" w:eastAsia="zh-CN"/>
        </w:rPr>
        <w:t>3) объявление предостережения;</w:t>
      </w:r>
    </w:p>
    <w:p w14:paraId="02885664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3) профилактический визит;</w:t>
      </w:r>
    </w:p>
    <w:bookmarkEnd w:id="0"/>
    <w:p w14:paraId="613E2E79">
      <w:pPr>
        <w:shd w:val="clear" w:color="auto" w:fill="FFFFFF"/>
        <w:spacing w:after="0" w:line="240" w:lineRule="auto"/>
        <w:ind w:firstLine="600" w:firstLineChars="250"/>
        <w:jc w:val="both"/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</w:pP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>1.2 В положение  в разделе 2 добавить пункт 2.9 и пункт 2.10 следующего содержания :</w:t>
      </w:r>
    </w:p>
    <w:p w14:paraId="1E5F42E1">
      <w:pPr>
        <w:shd w:val="clear" w:color="auto" w:fill="FFFFFF"/>
        <w:spacing w:after="0" w:line="240" w:lineRule="auto"/>
        <w:ind w:firstLine="600" w:firstLineChars="250"/>
        <w:jc w:val="both"/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</w:pPr>
    </w:p>
    <w:p w14:paraId="1C1AC314">
      <w:pPr>
        <w:shd w:val="clear" w:color="auto" w:fill="FFFFFF"/>
        <w:spacing w:after="0" w:line="240" w:lineRule="auto"/>
        <w:ind w:firstLine="600" w:firstLineChars="250"/>
        <w:jc w:val="both"/>
        <w:rPr>
          <w:rFonts w:hint="default" w:ascii="Arial" w:hAnsi="Arial" w:eastAsia="Times New Roman" w:cs="Arial"/>
          <w:color w:val="auto"/>
          <w:sz w:val="24"/>
          <w:szCs w:val="24"/>
          <w:lang w:val="en-US" w:eastAsia="ru-RU"/>
        </w:rPr>
      </w:pP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 xml:space="preserve">2.9 </w:t>
      </w:r>
      <w:r>
        <w:rPr>
          <w:rFonts w:hint="default" w:ascii="Arial" w:hAnsi="Arial" w:eastAsia="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(надзорный)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14:paraId="662CB939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auto"/>
          <w:sz w:val="24"/>
          <w:szCs w:val="24"/>
          <w:lang w:eastAsia="ru-RU"/>
        </w:rPr>
        <w:t>2.</w:t>
      </w:r>
      <w:r>
        <w:rPr>
          <w:rFonts w:hint="default" w:ascii="Arial" w:hAnsi="Arial" w:eastAsia="Times New Roman" w:cs="Arial"/>
          <w:color w:val="auto"/>
          <w:sz w:val="24"/>
          <w:szCs w:val="24"/>
          <w:lang w:val="en-US" w:eastAsia="ru-RU"/>
        </w:rPr>
        <w:t>9</w:t>
      </w:r>
      <w:r>
        <w:rPr>
          <w:rFonts w:ascii="Arial" w:hAnsi="Arial" w:eastAsia="Times New Roman" w:cs="Arial"/>
          <w:color w:val="auto"/>
          <w:sz w:val="24"/>
          <w:szCs w:val="24"/>
          <w:lang w:eastAsia="ru-RU"/>
        </w:rPr>
        <w:t>.1. Пре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достережение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14:paraId="037AA0CA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.2. </w:t>
      </w:r>
      <w:r>
        <w:fldChar w:fldCharType="begin"/>
      </w:r>
      <w:r>
        <w:instrText xml:space="preserve"> HYPERLINK "https://docs.cntd.ru/document/603553634" \l "7DA0K5" </w:instrText>
      </w:r>
      <w:r>
        <w:fldChar w:fldCharType="separate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Предостережение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составляется в письменном виде и по форме, утвержденной </w:t>
      </w:r>
      <w:r>
        <w:fldChar w:fldCharType="begin"/>
      </w:r>
      <w:r>
        <w:instrText xml:space="preserve"> HYPERLINK "https://docs.cntd.ru/document/603553634" \l "7D20K3" </w:instrText>
      </w:r>
      <w:r>
        <w:fldChar w:fldCharType="separate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приказом Министерства экономического развития Российской Федерации от 31 марта 2021 года N 151 "О типовых формах документов, используемых контрольным (надзорным) органом"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1605B0AE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.3. Предостережение объявляется должностным лицом и направляется контролируемому лицу в порядке, предусмотренном </w:t>
      </w:r>
      <w:r>
        <w:fldChar w:fldCharType="begin"/>
      </w:r>
      <w:r>
        <w:instrText xml:space="preserve"> HYPERLINK "https://docs.cntd.ru/document/565415215" \l "64U0IK" </w:instrText>
      </w:r>
      <w:r>
        <w:fldChar w:fldCharType="separate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Федеральным законом N 248-ФЗ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</w:r>
    </w:p>
    <w:p w14:paraId="179463AF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.4.Должностное лицо осуществляет учет объявленных предостережений о недопустимости нарушения обязательных требований в соответствии с </w:t>
      </w:r>
      <w:r>
        <w:fldChar w:fldCharType="begin"/>
      </w:r>
      <w:r>
        <w:instrText xml:space="preserve"> HYPERLINK "https://docs.cntd.ru/document/565415215" \l "64U0IK" </w:instrText>
      </w:r>
      <w:r>
        <w:fldChar w:fldCharType="separate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Федеральным законом N 248-ФЗ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290B8752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.5. В случае объявления контрольным органом предостережения о недопустимости нарушения обязательных требований, контролируемое лицо вправе подать возражение в отношении указанного предостережения в срок, не превышающий 15 рабочих дней со дня получения им предостережения, в письменной бумажной форме посредством личной подачи, направления по почте в адрес местонахождения контрольного органа - администрацию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МО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«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Хогот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»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</w:p>
    <w:p w14:paraId="1260E1F0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.6. Возражение должно содержать:</w:t>
      </w:r>
    </w:p>
    <w:p w14:paraId="1D79639E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наименование контрольного органа, в который направляется возражение;</w:t>
      </w:r>
    </w:p>
    <w:p w14:paraId="021C0517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наименование юридического лица, фамилию, имя и отчество (последнее -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дата и номер предостережения;</w:t>
      </w:r>
    </w:p>
    <w:p w14:paraId="6C4524DB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доводы, на основании которых контролируемое лицо не согласно с объявленным предостережением;</w:t>
      </w:r>
    </w:p>
    <w:p w14:paraId="20A212DB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дату получения предостережения контролируемым лицом;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-личную подпись и дату;</w:t>
      </w:r>
    </w:p>
    <w:p w14:paraId="2A3BEB96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желаемый способ получения решения по результатам рассмотрения возражения.</w:t>
      </w:r>
    </w:p>
    <w:p w14:paraId="3FB35D09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В случае необходимости в подтверждение своих доводов, контролируемое лицо прилагает к возражению соответствующие документы либо их заверенные копии.</w:t>
      </w:r>
    </w:p>
    <w:p w14:paraId="47F61725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.7. Общий срок рассмотрения контрольным органом возражения в отношении предостережения составляет 15 рабочих дней со дня получения. При этом в случае, если возражение подано по истечении срока, установленного пунктом 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.5 настоящего Положения, либо в случае несоответствия возражения требованиям, установленным пунктом 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.6. настоящего Положения, контрольный орган оставляет возражение без рассмотрения по существу, о чем уведомляет контролируемое лицо в течение 10 рабочих дней со дня поступления возражения.</w:t>
      </w:r>
    </w:p>
    <w:p w14:paraId="02DDA9EA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.8. По результатам рассмотрения возражения принимается одно из следующих решений:</w:t>
      </w:r>
    </w:p>
    <w:p w14:paraId="16C1AC0B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 оставить предостережение о недопустимости нарушения обязательных требований без изменения, возражение без удовлетворения;</w:t>
      </w:r>
    </w:p>
    <w:p w14:paraId="47155D25">
      <w:pPr>
        <w:spacing w:after="0" w:line="240" w:lineRule="auto"/>
        <w:ind w:firstLine="709"/>
        <w:jc w:val="both"/>
        <w:textAlignment w:val="baseline"/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-отменить предостережение о недопустимости нарушения обязательных требований полностью или в части, удовлетворить возражение полностью или в части.</w:t>
      </w:r>
    </w:p>
    <w:p w14:paraId="4DFC770F">
      <w:pPr>
        <w:suppressAutoHyphens/>
        <w:autoSpaceDE w:val="0"/>
        <w:spacing w:after="0" w:line="240" w:lineRule="auto"/>
        <w:ind w:firstLine="709"/>
        <w:jc w:val="both"/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eastAsia="Times New Roman" w:cs="Arial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.9. Контрольный орган направляет копию принятого решения Контролируемому лицу не позднее трех рабочих дней со дня его принятия</w:t>
      </w: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.</w:t>
      </w:r>
    </w:p>
    <w:p w14:paraId="6EFDACCE">
      <w:pPr>
        <w:suppressAutoHyphens/>
        <w:autoSpaceDE w:val="0"/>
        <w:spacing w:after="0" w:line="240" w:lineRule="auto"/>
        <w:ind w:firstLine="709"/>
        <w:jc w:val="both"/>
        <w:rPr>
          <w:rFonts w:hint="default" w:ascii="Arial" w:hAnsi="Arial" w:eastAsia="Times New Roman" w:cs="Arial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</w:p>
    <w:p w14:paraId="76CD7408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2.</w:t>
      </w: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>10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. Профилактический визит проводится в форме профилактической беседы инспектором по месту осуществления деятельности контролируемого лица.</w:t>
      </w:r>
    </w:p>
    <w:p w14:paraId="00E38834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2.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10</w:t>
      </w:r>
      <w:r>
        <w:rPr>
          <w:rFonts w:ascii="Arial" w:hAnsi="Arial" w:eastAsia="Times New Roman" w:cs="Arial"/>
          <w:sz w:val="24"/>
          <w:szCs w:val="24"/>
          <w:lang w:eastAsia="ru-RU"/>
        </w:rPr>
        <w:t>.1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1585D6A2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2.</w:t>
      </w:r>
      <w:r>
        <w:rPr>
          <w:rFonts w:hint="default" w:ascii="Arial" w:hAnsi="Arial" w:eastAsia="Times New Roman" w:cs="Arial"/>
          <w:sz w:val="24"/>
          <w:szCs w:val="24"/>
          <w:lang w:val="en-US" w:eastAsia="ru-RU"/>
        </w:rPr>
        <w:t>10</w:t>
      </w:r>
      <w:r>
        <w:rPr>
          <w:rFonts w:ascii="Arial" w:hAnsi="Arial" w:eastAsia="Times New Roman" w:cs="Arial"/>
          <w:sz w:val="24"/>
          <w:szCs w:val="24"/>
          <w:lang w:eastAsia="ru-RU"/>
        </w:rPr>
        <w:t>.2. Профилактический визит проводится по инициативе контролируемого рамках статьи 52.2 Федерального закона 248-ФЗ.</w:t>
      </w:r>
    </w:p>
    <w:p w14:paraId="197476F2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bookmarkStart w:id="1" w:name="_Hlk197437524"/>
      <w:r>
        <w:rPr>
          <w:rFonts w:ascii="Arial" w:hAnsi="Arial" w:cs="Arial"/>
          <w:sz w:val="24"/>
          <w:szCs w:val="24"/>
          <w:shd w:val="clear" w:color="auto" w:fill="FFFFFF"/>
        </w:rPr>
        <w:t>2.</w:t>
      </w:r>
      <w:r>
        <w:rPr>
          <w:rFonts w:hint="default" w:ascii="Arial" w:hAnsi="Arial" w:cs="Arial"/>
          <w:sz w:val="24"/>
          <w:szCs w:val="24"/>
          <w:shd w:val="clear" w:color="auto" w:fill="FFFFFF"/>
          <w:lang w:val="ru-RU"/>
        </w:rPr>
        <w:t>10</w:t>
      </w:r>
      <w:r>
        <w:rPr>
          <w:rFonts w:ascii="Arial" w:hAnsi="Arial" w:cs="Arial"/>
          <w:sz w:val="24"/>
          <w:szCs w:val="24"/>
          <w:shd w:val="clear" w:color="auto" w:fill="FFFFFF"/>
        </w:rPr>
        <w:t>.3.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"</w:t>
      </w:r>
      <w:r>
        <w:fldChar w:fldCharType="begin"/>
      </w:r>
      <w:r>
        <w:instrText xml:space="preserve"> HYPERLINK "https://www.gosuslugi.ru/" \t "_blank" </w:instrText>
      </w:r>
      <w:r>
        <w:fldChar w:fldCharType="separate"/>
      </w:r>
      <w:r>
        <w:rPr>
          <w:rFonts w:ascii="Arial" w:hAnsi="Arial" w:cs="Arial"/>
          <w:sz w:val="24"/>
          <w:szCs w:val="24"/>
          <w:shd w:val="clear" w:color="auto" w:fill="FFFFFF"/>
        </w:rPr>
        <w:t>Единый портал</w:t>
      </w:r>
      <w:r>
        <w:rPr>
          <w:rFonts w:ascii="Arial" w:hAnsi="Arial" w:cs="Arial"/>
          <w:sz w:val="24"/>
          <w:szCs w:val="24"/>
          <w:shd w:val="clear" w:color="auto" w:fill="FFFFFF"/>
        </w:rPr>
        <w:fldChar w:fldCharType="end"/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 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</w:t>
      </w:r>
    </w:p>
    <w:p w14:paraId="0072CD6D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</w:p>
    <w:bookmarkEnd w:id="1"/>
    <w:p w14:paraId="7BCCCEB7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color w:val="000000" w:themeColor="text1"/>
          <w:sz w:val="24"/>
          <w:szCs w:val="24"/>
          <w:lang w:val="ru-RU" w:eastAsia="zh-CN"/>
          <w14:textFill>
            <w14:solidFill>
              <w14:schemeClr w14:val="tx1"/>
            </w14:solidFill>
          </w14:textFill>
        </w:rPr>
        <w:t xml:space="preserve">1.3 В Раздел 4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Положения изложить в редакции:</w:t>
      </w:r>
    </w:p>
    <w:p w14:paraId="6FA8BF52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</w:p>
    <w:p w14:paraId="552D41FB">
      <w:pPr>
        <w:suppressAutoHyphens/>
        <w:autoSpaceDE w:val="0"/>
        <w:spacing w:after="0" w:line="240" w:lineRule="auto"/>
        <w:ind w:firstLine="709"/>
        <w:jc w:val="center"/>
        <w:rPr>
          <w:rFonts w:ascii="Arial" w:hAnsi="Arial" w:eastAsia="Times New Roman" w:cs="Arial"/>
          <w:b/>
          <w:bCs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zh-CN"/>
        </w:rPr>
        <w:t>Раздел 4. Обжалование решений администрации, действий (бездействия) должностных лиц</w:t>
      </w:r>
    </w:p>
    <w:p w14:paraId="6A980F7C">
      <w:pPr>
        <w:suppressAutoHyphens/>
        <w:autoSpaceDE w:val="0"/>
        <w:spacing w:after="0" w:line="240" w:lineRule="auto"/>
        <w:ind w:firstLine="709"/>
        <w:jc w:val="center"/>
        <w:rPr>
          <w:rFonts w:ascii="Arial" w:hAnsi="Arial" w:eastAsia="Times New Roman" w:cs="Arial"/>
          <w:b/>
          <w:bCs/>
          <w:color w:val="000000"/>
          <w:sz w:val="24"/>
          <w:szCs w:val="24"/>
          <w:lang w:eastAsia="zh-CN"/>
        </w:rPr>
      </w:pPr>
    </w:p>
    <w:p w14:paraId="3A118A70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4.1. Решения администрации, действия (бездействие) должностных лиц могут быть обжалованы в порядке, установленном главой 9 Федерального закона № 248-ФЗ.</w:t>
      </w:r>
    </w:p>
    <w:p w14:paraId="76699254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629EB54E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1) решений о проведении контрольных (надзорных) мероприятий и обязательных профилактических визитов;</w:t>
      </w:r>
    </w:p>
    <w:p w14:paraId="4195C1EF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14:paraId="71BF70A2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>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14:paraId="795EEC6A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4) решений об отнесении объектов контроля к соответствующей категории риска;</w:t>
      </w:r>
    </w:p>
    <w:p w14:paraId="1751254D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5) решений об отказе в проведении обязательных профилактических визитов по заявлениям контролируемых лиц;</w:t>
      </w:r>
    </w:p>
    <w:p w14:paraId="02F993DC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Федеральным законом 248-ФЗ, в отношении контролируемых лиц или объектов контроля.</w:t>
      </w:r>
    </w:p>
    <w:p w14:paraId="091B17F8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  <w:lang w:eastAsia="zh-CN"/>
        </w:rPr>
        <w:t xml:space="preserve"> и (или) регионального портала государственных и муниципальных услуг</w:t>
      </w: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.</w:t>
      </w:r>
    </w:p>
    <w:p w14:paraId="0E94504C">
      <w:pPr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>
        <w:rPr>
          <w:rFonts w:ascii="Arial" w:hAnsi="Arial" w:eastAsia="Times New Roman" w:cs="Arial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с предварительным информированием главы о наличии в</w:t>
      </w:r>
      <w:r>
        <w:rPr>
          <w:rFonts w:ascii="Arial" w:hAnsi="Arial" w:eastAsia="Times New Roman" w:cs="Arial"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жалобе (документах) сведений, составляющих государственную или иную охраняемую законом тайну.</w:t>
      </w:r>
    </w:p>
    <w:p w14:paraId="5E608093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bookmarkStart w:id="2" w:name="_Hlk197438018"/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4.4. Жалоба на решение администрации, действия (бездействие) должностных лиц рассматривается Главой.</w:t>
      </w:r>
    </w:p>
    <w:p w14:paraId="0EDD483B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Жалоба на решения, действия (бездействие) руководителя контрольного (надзорного) органа рассматривается руководителем контрольного (надзорного) органа. </w:t>
      </w:r>
    </w:p>
    <w:bookmarkEnd w:id="2"/>
    <w:p w14:paraId="6A1AF546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747CA3F5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7D8606FB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4348BBEB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zh-CN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zh-CN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52206E37">
      <w:pPr>
        <w:pStyle w:val="1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4.6.</w:t>
      </w:r>
      <w:r>
        <w:rPr>
          <w:rFonts w:ascii="Arial" w:hAnsi="Arial" w:cs="Arial"/>
          <w:color w:val="000000"/>
        </w:rPr>
        <w:t xml:space="preserve">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обжалования.  </w:t>
      </w:r>
    </w:p>
    <w:p w14:paraId="08A5DEED">
      <w:pPr>
        <w:suppressAutoHyphens/>
        <w:autoSpaceDE w:val="0"/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14:paraId="299669F6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bookmarkStart w:id="3" w:name="_Hlk190954360"/>
      <w:r>
        <w:rPr>
          <w:rFonts w:ascii="Arial" w:hAnsi="Arial" w:eastAsia="Times New Roman" w:cs="Arial"/>
          <w:sz w:val="24"/>
          <w:szCs w:val="24"/>
          <w:lang w:eastAsia="ru-RU"/>
        </w:rPr>
        <w:t>4.7. Жалоба может содержать ходатайство о приостановлении исполнения обжалуемого решения контрольного (надзорного) органа.</w:t>
      </w:r>
    </w:p>
    <w:bookmarkEnd w:id="3"/>
    <w:p w14:paraId="62D2E2DB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bookmarkStart w:id="4" w:name="_Hlk190954523"/>
      <w:r>
        <w:rPr>
          <w:rFonts w:ascii="Arial" w:hAnsi="Arial" w:eastAsia="Times New Roman" w:cs="Arial"/>
          <w:sz w:val="24"/>
          <w:szCs w:val="24"/>
          <w:lang w:eastAsia="ru-RU"/>
        </w:rPr>
        <w:t>4.8. Администрация в срок не позднее двух рабочих дней со дня регистрации жалобы принимает решение:</w:t>
      </w:r>
    </w:p>
    <w:p w14:paraId="34056134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1) о приостановлении исполнения об</w:t>
      </w:r>
      <w:bookmarkStart w:id="5" w:name="_GoBack"/>
      <w:bookmarkEnd w:id="5"/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жалуемого решения контрольного (надзорного) органа;</w:t>
      </w:r>
    </w:p>
    <w:p w14:paraId="252385EF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2) об отказе в приостановлении исполнения обжалуемого решения контрольного (надзорного) органа.</w:t>
      </w:r>
      <w:bookmarkEnd w:id="4"/>
    </w:p>
    <w:p w14:paraId="49B0B307">
      <w:pPr>
        <w:spacing w:after="0" w:line="240" w:lineRule="auto"/>
        <w:ind w:firstLine="709"/>
        <w:jc w:val="both"/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4.9. Информация о решении, указанном в пункте 4.8, направляется лицу, подавшему жалобу, в течение одного рабочего дня с момента принятия решения.</w:t>
      </w:r>
    </w:p>
    <w:p w14:paraId="03166172">
      <w:pPr>
        <w:suppressAutoHyphens/>
        <w:autoSpaceDE w:val="0"/>
        <w:spacing w:after="0" w:line="240" w:lineRule="auto"/>
        <w:ind w:firstLine="709"/>
        <w:jc w:val="both"/>
        <w:rPr>
          <w:rFonts w:hint="default" w:ascii="Arial" w:hAnsi="Arial" w:eastAsia="Times New Roman" w:cs="Arial"/>
          <w:color w:val="000000"/>
          <w:sz w:val="24"/>
          <w:szCs w:val="24"/>
          <w:lang w:val="ru-RU" w:eastAsia="zh-CN"/>
        </w:rPr>
      </w:pPr>
    </w:p>
    <w:p w14:paraId="7E72069E">
      <w:pPr>
        <w:shd w:val="clear" w:color="auto" w:fill="FFFFFF"/>
        <w:spacing w:after="0" w:line="240" w:lineRule="auto"/>
        <w:ind w:firstLine="709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2. Решение подлежит официальному опубликованию в газете «Хогот»  и размещению на официальном сайте Муниципального образования «Хогот» в информационно-телекоммуникационной сети «Интернет».</w:t>
      </w:r>
    </w:p>
    <w:p w14:paraId="1E46838E"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 </w:t>
      </w:r>
    </w:p>
    <w:p w14:paraId="6D481FB7"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 </w:t>
      </w:r>
    </w:p>
    <w:p w14:paraId="4489EE75"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A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A"/>
          <w:sz w:val="24"/>
          <w:szCs w:val="24"/>
          <w:lang w:eastAsia="ru-RU"/>
        </w:rPr>
        <w:t xml:space="preserve">Председатель Думы МО «Хогот»                             </w:t>
      </w:r>
    </w:p>
    <w:p w14:paraId="49933CF8">
      <w:pPr>
        <w:spacing w:after="0" w:line="240" w:lineRule="auto"/>
        <w:ind w:firstLine="567"/>
        <w:jc w:val="both"/>
        <w:rPr>
          <w:rFonts w:ascii="Calibri" w:hAnsi="Calibri" w:eastAsia="Times New Roman" w:cs="Calibri"/>
          <w:color w:val="00000A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A"/>
          <w:sz w:val="24"/>
          <w:szCs w:val="24"/>
          <w:lang w:eastAsia="ru-RU"/>
        </w:rPr>
        <w:t>Адушинова М.В.</w:t>
      </w:r>
    </w:p>
    <w:p w14:paraId="7DBCA2FD"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A"/>
          <w:sz w:val="24"/>
          <w:szCs w:val="24"/>
          <w:lang w:eastAsia="ru-RU"/>
        </w:rPr>
      </w:pPr>
    </w:p>
    <w:p w14:paraId="07443ECE">
      <w:pPr>
        <w:spacing w:after="0" w:line="240" w:lineRule="auto"/>
        <w:ind w:firstLine="567"/>
        <w:jc w:val="both"/>
        <w:rPr>
          <w:rFonts w:ascii="Arial" w:hAnsi="Arial" w:eastAsia="Times New Roman" w:cs="Arial"/>
          <w:color w:val="00000A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A"/>
          <w:sz w:val="24"/>
          <w:szCs w:val="24"/>
          <w:lang w:eastAsia="ru-RU"/>
        </w:rPr>
        <w:t xml:space="preserve">Глава МО «Хогот»                        </w:t>
      </w:r>
    </w:p>
    <w:p w14:paraId="677F5991">
      <w:pPr>
        <w:spacing w:after="0" w:line="240" w:lineRule="auto"/>
        <w:ind w:firstLine="567"/>
        <w:jc w:val="both"/>
        <w:rPr>
          <w:rFonts w:ascii="Calibri" w:hAnsi="Calibri" w:eastAsia="Times New Roman" w:cs="Calibri"/>
          <w:color w:val="00000A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A"/>
          <w:sz w:val="24"/>
          <w:szCs w:val="24"/>
          <w:lang w:eastAsia="ru-RU"/>
        </w:rPr>
        <w:t>Павлов</w:t>
      </w:r>
      <w:r>
        <w:rPr>
          <w:rFonts w:hint="default" w:ascii="Arial" w:hAnsi="Arial" w:eastAsia="Times New Roman" w:cs="Arial"/>
          <w:color w:val="00000A"/>
          <w:sz w:val="24"/>
          <w:szCs w:val="24"/>
          <w:lang w:val="en-US" w:eastAsia="ru-RU"/>
        </w:rPr>
        <w:t xml:space="preserve"> С.В</w:t>
      </w:r>
      <w:r>
        <w:rPr>
          <w:rFonts w:ascii="Arial" w:hAnsi="Arial" w:eastAsia="Times New Roman" w:cs="Arial"/>
          <w:color w:val="00000A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  </w:t>
      </w:r>
    </w:p>
    <w:p w14:paraId="41B22749">
      <w:pPr>
        <w:spacing w:after="0" w:line="240" w:lineRule="auto"/>
        <w:ind w:firstLine="709"/>
        <w:jc w:val="right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 </w:t>
      </w:r>
    </w:p>
    <w:p w14:paraId="70430196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6CB7E1"/>
    <w:multiLevelType w:val="singleLevel"/>
    <w:tmpl w:val="EE6CB7E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782"/>
    <w:rsid w:val="000E444D"/>
    <w:rsid w:val="0041237D"/>
    <w:rsid w:val="005C2782"/>
    <w:rsid w:val="00DF5F2C"/>
    <w:rsid w:val="24814517"/>
    <w:rsid w:val="2E2803A5"/>
    <w:rsid w:val="608D6A22"/>
    <w:rsid w:val="7B1E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">
    <w:name w:val="fontstyle32"/>
    <w:basedOn w:val="2"/>
    <w:qFormat/>
    <w:uiPriority w:val="0"/>
  </w:style>
  <w:style w:type="character" w:customStyle="1" w:styleId="6">
    <w:name w:val="Гиперссылка1"/>
    <w:basedOn w:val="2"/>
    <w:qFormat/>
    <w:uiPriority w:val="0"/>
  </w:style>
  <w:style w:type="paragraph" w:customStyle="1" w:styleId="7">
    <w:name w:val="consplustitl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">
    <w:name w:val="consplus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">
    <w:name w:val="s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">
    <w:name w:val="a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">
    <w:name w:val="dt-p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599</Words>
  <Characters>3420</Characters>
  <Lines>28</Lines>
  <Paragraphs>8</Paragraphs>
  <TotalTime>37</TotalTime>
  <ScaleCrop>false</ScaleCrop>
  <LinksUpToDate>false</LinksUpToDate>
  <CharactersWithSpaces>4011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2024-06-27T07:08:00Z</dcterms:created>
  <dc:creator>Пользователь</dc:creator>
  <cp:lastModifiedBy>USER</cp:lastModifiedBy>
  <cp:lastPrinted>2025-12-26T06:18:58Z</cp:lastPrinted>
  <dcterms:modified xsi:type="dcterms:W3CDTF">2025-12-26T06:26:55Z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869607D7B34C4A56AA1A27B18B3B0ED3_12</vt:lpwstr>
  </property>
</Properties>
</file>